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D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part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–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Le fran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ç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ais dans le monde</w:t>
            </w:r>
            <w:r>
              <w:rPr>
                <w:rFonts w:ascii="Palatino Linotype" w:cs="Palatino Linotype" w:hAnsi="Palatino Linotype" w:eastAsia="Palatino Linotype"/>
                <w:sz w:val="32"/>
                <w:szCs w:val="32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Predmetom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ra je najm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ä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rozhovor so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tudentmi o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zsku a o tom,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 je to frankof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ó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nia. Jeho cie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om je pribl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íž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ť 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tudentom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zsky jazyk,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zsko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ď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ie frankof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ó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nne krajiny.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 / linguistiques:</w:t>
        <w:tab/>
        <w:tab/>
        <w:t>les noms des pays,</w:t>
      </w:r>
    </w:p>
    <w:p>
      <w:pPr>
        <w:pStyle w:val="Normálny"/>
        <w:ind w:left="4245" w:hanging="4245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socioculturels:</w:t>
        <w:tab/>
        <w:tab/>
        <w:t>la France, la France 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outre-mer, la francophonie</w:t>
      </w:r>
    </w:p>
    <w:p>
      <w:pPr>
        <w:pStyle w:val="Normálny"/>
        <w:ind w:left="4245" w:hanging="4245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>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active, remue-m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ninges (brainstorming)  </w:t>
        <w:tab/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ab/>
        <w:tab/>
        <w:tab/>
        <w:t>individuel, en groupe, collectif</w:t>
      </w:r>
    </w:p>
    <w:p>
      <w:pPr>
        <w:pStyle w:val="Normálny"/>
        <w:tabs>
          <w:tab w:val="left" w:pos="2880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ab/>
        <w:t xml:space="preserve"> </w:t>
        <w:tab/>
        <w:t>45 minutes</w:t>
      </w:r>
    </w:p>
    <w:p>
      <w:pPr>
        <w:pStyle w:val="Normálny"/>
        <w:tabs>
          <w:tab w:val="left" w:pos="2880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ROULEMENT 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et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sentez-vous. Ensuite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du cours.</w:t>
      </w:r>
    </w:p>
    <w:p>
      <w:pPr>
        <w:pStyle w:val="Normálny"/>
        <w:tabs>
          <w:tab w:val="left" w:pos="2880"/>
        </w:tabs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Divisez la classe en petits groupes de 3-4 personnes et demandez de noter ce qui leur vient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esprit quand ils entendent les mots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France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 fran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ais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Ensuite 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chaque groupe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senter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sultats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voix haute et faites avec eux la carte heuristique avec toutes les connotations. 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s, regardez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la carte du monde et demandez de situer la France sur la carte.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O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se trouve la France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?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et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Quelle est sa capitale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?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Expliquez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les notions de la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rancophonie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et de la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rancophonie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  Attirez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attention des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aux couleurs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 sur la carte (couleur orange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pays membres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OIF et couleur verte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pays observateurs). Expliquez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ce que 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OIF (Organisation Internationale de la Francophonie). Entrez sur le site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OIF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"http://www.francophonie.org/"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www.francophonie.org</w:t>
      </w:r>
      <w:r>
        <w:rPr/>
        <w:fldChar w:fldCharType="end" w:fldLock="0"/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. Montrez le symbole de la francophonie et expliquez sa symbolique. Analysez ensemble la carte et 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fl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chissez sur quels continents le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est pr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sent, o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on parle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le plus, nommez quelques pays. Ensuite montrez la liste d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tats membres et d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tats observateurs de 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OIF. Soulignez le fait que la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en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Slovaquie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a le statut du pays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observateur.  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et commentez les suppositions des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en regardant film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"https://www.youtube.com/watch?v=yR7c58l_GJk"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www.youtube.com/watch?v=yR7c58l_GJk</w:t>
      </w:r>
      <w:r>
        <w:rPr/>
        <w:fldChar w:fldCharType="end" w:fldLock="0"/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DEVOIR </w:t>
      </w: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 xml:space="preserve">À </w:t>
      </w:r>
      <w:r>
        <w:rPr>
          <w:rStyle w:val="Žádný"/>
          <w:rFonts w:ascii="Palatino Linotype" w:cs="Palatino Linotype" w:hAnsi="Palatino Linotype" w:eastAsia="Palatino Linotype"/>
          <w:b w:val="1"/>
          <w:bCs w:val="1"/>
          <w:outline w:val="0"/>
          <w:color w:val="1f497d"/>
          <w:sz w:val="24"/>
          <w:szCs w:val="24"/>
          <w:u w:color="1f497d"/>
          <w:rtl w:val="0"/>
          <w14:textFill>
            <w14:solidFill>
              <w14:srgbClr w14:val="1F497D"/>
            </w14:solidFill>
          </w14:textFill>
        </w:rPr>
        <w:t>LA MAISON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ves de pr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parer 10 arguments pourquoi il vaut la peine d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apprendre le fran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ais et quelles sont leurs raisons (en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 xml:space="preserve"> slovaque</w:t>
      </w:r>
      <w:r>
        <w:rPr>
          <w:rStyle w:val="Žádný"/>
          <w:rFonts w:ascii="Palatino Linotype" w:cs="Palatino Linotype" w:hAnsi="Palatino Linotype" w:eastAsia="Palatino Linotype"/>
          <w:sz w:val="24"/>
          <w:szCs w:val="24"/>
          <w:rtl w:val="0"/>
        </w:rPr>
        <w:t>).</w:t>
      </w: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2880"/>
        </w:tabs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Style w:val="Žádný"/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</w:pPr>
      <w:r>
        <w:rPr>
          <w:rStyle w:val="Žádný"/>
          <w:rFonts w:ascii="Palatino Linotype" w:cs="Palatino Linotype" w:hAnsi="Palatino Linotype" w:eastAsia="Palatino Linotype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1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0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Palatino Linotype" w:cs="Palatino Linotype" w:hAnsi="Palatino Linotype" w:eastAsia="Palatino Linotype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