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La phon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tique et l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orthographe</w:t>
            </w:r>
            <w:r>
              <w:rPr>
                <w:rFonts w:ascii="Palatino Linotype" w:cs="Palatino Linotype" w:hAnsi="Palatino Linotype" w:eastAsia="Palatino Linotype"/>
                <w:sz w:val="32"/>
                <w:szCs w:val="32"/>
                <w:shd w:val="nil" w:color="auto" w:fill="auto"/>
              </w:rPr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197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 tomto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ri prin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ame sch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mu 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ce 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cu sa 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zvuku, 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slovnosti 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pravopisu vo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tine.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sa prostredn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ctvom 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ô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znych cvi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ia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zsku abecedu, bud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ú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sa 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vyslovova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zske hl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sky a hl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skova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. Ich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lohou bude po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 opakova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á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obsahuj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ce charakteristick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zske hl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sky a s pomocou 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ite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 analyzova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pravidl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á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slovnosti. V praktickej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asti hodiny 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zameraj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ú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 artikul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ciu spr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vnych hl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sok pri vyslovovan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slov, ktor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ú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podobn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 oboch jazykoch (transparentn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razy).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35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fonctionnels/ pragmatiques:</w:t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peler les mots </w:t>
      </w:r>
    </w:p>
    <w:p>
      <w:pPr>
        <w:pStyle w:val="Normálny"/>
        <w:tabs>
          <w:tab w:val="left" w:pos="2835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lexicaux/ linguistiques:</w:t>
        <w:tab/>
        <w:tab/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alphabet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</w:t>
      </w:r>
    </w:p>
    <w:p>
      <w:pPr>
        <w:pStyle w:val="Normálny"/>
        <w:tabs>
          <w:tab w:val="left" w:pos="2835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riaux:</w:t>
        <w:tab/>
        <w:tab/>
        <w:tab/>
        <w:t>livre, DOCUMENT  n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2</w:t>
      </w:r>
    </w:p>
    <w:p>
      <w:pPr>
        <w:pStyle w:val="Normálny"/>
        <w:tabs>
          <w:tab w:val="left" w:pos="2835"/>
        </w:tabs>
        <w:spacing w:after="120"/>
        <w:ind w:left="2832" w:hanging="2832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thodes:</w:t>
        <w:tab/>
        <w:tab/>
        <w:tab/>
        <w:tab/>
        <w:t xml:space="preserve">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ductive, active, heuristique</w:t>
      </w:r>
    </w:p>
    <w:p>
      <w:pPr>
        <w:pStyle w:val="Normálny"/>
        <w:tabs>
          <w:tab w:val="left" w:pos="2835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travail:</w:t>
        <w:tab/>
        <w:tab/>
        <w:tab/>
        <w:t>collectif, individuel, en groupe</w:t>
        <w:tab/>
      </w:r>
    </w:p>
    <w:p>
      <w:pPr>
        <w:pStyle w:val="Normálny"/>
        <w:tabs>
          <w:tab w:val="left" w:pos="2880"/>
        </w:tabs>
        <w:spacing w:after="120"/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14:textFill>
            <w14:solidFill>
              <w14:srgbClr w14:val="1F497D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e:</w:t>
        <w:tab/>
        <w:tab/>
        <w:tab/>
        <w:t>45 minutes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ROULEMENT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 les devoirs. 2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3 personnes lisent quelle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gion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aise ou quel territoire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outre-mer elles  voudraient bien visiter et pourquoi.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Ensuite,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du cours.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les livres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9.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1A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et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tent les voyelles et les mots. Ensuite, ils essayent de dire si toutes les voyelles existent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Demandez de souligner le son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dans le mot et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s,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rifiez-le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ves. 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1B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et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tent les consonnes et les mots. Ensuite, ils essayent de dire si toutes les consonnes existent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 Demandez de souligner le son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 dans le mot et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s,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rifiez-le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1 C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et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tent les semi-voyelles et les mots. Ensuite, ils essayent de dire si toutes les semi-voyelles existent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 Demandez de souligner le son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dans le mot et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s,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rifiez-le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Analysez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les mots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dans ces trois tableaux et demandez 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est plac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accent tonique. Ensuite,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ouvrent les livres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104. Lisez les mots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voix haute  et comparez la place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accent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et en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ais.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fin,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ter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vous les mots du tableau.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alphabet fran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ais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Faites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couter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alphabet pour la premi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 fois. Ensuite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coutez en demandant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ter (deuxi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me fois).  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se mettre en groupe de 4 personnes et, dans ce groupe,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ter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alphabet en cha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ne. Celui qui se trompe est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limin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 jeu jusqu'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ce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 ne reste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un gagnant.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se mettre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 et de prononcer les lettres de leurs noms et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noms. 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2C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lier les villes francophones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leurs symboles.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s, 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coutez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enregistrement avec les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 correctes.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Faites le tableau avec deux colonnes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</w:t>
      </w: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06"/>
        <w:gridCol w:w="4616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before="24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Mots similaires</w:t>
            </w:r>
          </w:p>
        </w:tc>
        <w:tc>
          <w:tcPr>
            <w:tcW w:type="dxa" w:w="4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before="240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Mots diff</w:t>
            </w: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rents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y"/>
        <w:widowControl w:val="0"/>
        <w:spacing w:before="240" w:line="240" w:lineRule="auto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demandez de mettre dans la bonne colonne les mots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 n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3 (DOCUMENT n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2)</w:t>
      </w:r>
    </w:p>
    <w:p>
      <w:pPr>
        <w:pStyle w:val="Normálny"/>
        <w:spacing w:before="240"/>
        <w:jc w:val="both"/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14:textFill>
            <w14:solidFill>
              <w14:srgbClr w14:val="1F497D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fin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prononcer les lettres des mots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 n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3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LA MAISON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</w:rPr>
      </w:pP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Cherchez la d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 xml:space="preserve">finition du mot 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galicismus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en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 xml:space="preserve"> slovaque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 xml:space="preserve"> et donnez-en 5 exemples (au </w:t>
      </w:r>
    </w:p>
    <w:p>
      <w:pPr>
        <w:pStyle w:val="Normálny"/>
        <w:jc w:val="both"/>
      </w:pP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moins).</w:t>
      </w:r>
      <w:r>
        <w:rPr>
          <w:rFonts w:ascii="Palatino Linotype" w:cs="Palatino Linotype" w:hAnsi="Palatino Linotype" w:eastAsia="Palatino Linotype"/>
          <w:outline w:val="0"/>
          <w:color w:val="8db3e2"/>
          <w:sz w:val="24"/>
          <w:szCs w:val="24"/>
          <w:u w:color="8db3e2"/>
          <w:rtl w:val="0"/>
          <w14:textFill>
            <w14:solidFill>
              <w14:srgbClr w14:val="8DB3E2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3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0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