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548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</w:rPr>
            </w:pPr>
            <w:r>
              <w:rPr>
                <w:rFonts w:ascii="Calibri" w:cs="Palatino Linotype" w:hAnsi="Calibri" w:eastAsia="Palatino Linotype"/>
                <w:sz w:val="22"/>
                <w:szCs w:val="22"/>
                <w:shd w:val="nil" w:color="auto" w:fill="auto"/>
                <w:rtl w:val="0"/>
              </w:rPr>
              <w:t xml:space="preserve">    </w:t>
            </w:r>
          </w:p>
          <w:p>
            <w:pPr>
              <w:pStyle w:val="Normáln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Portrait 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– 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robot d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’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un Fran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ç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ais</w:t>
            </w:r>
            <w:r>
              <w:rPr>
                <w:rFonts w:ascii="Palatino Linotype" w:cs="Palatino Linotype" w:hAnsi="Palatino Linotype" w:eastAsia="Palatino Linotype"/>
                <w:sz w:val="32"/>
                <w:szCs w:val="32"/>
                <w:shd w:val="nil" w:color="auto" w:fill="auto"/>
              </w:rPr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álny"/>
      </w:pPr>
    </w:p>
    <w:tbl>
      <w:tblPr>
        <w:tblW w:w="92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32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Nasleduj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ci scen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 je zhrnut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 preberanej 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tky 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kaj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cej sa 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m: rodina, opis vonkaj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ieho vzh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ľ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adu a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vod do opisu charakteru.</w:t>
            </w:r>
          </w:p>
        </w:tc>
      </w:tr>
    </w:tbl>
    <w:p>
      <w:pPr>
        <w:pStyle w:val="Normálny"/>
        <w:widowControl w:val="0"/>
        <w:spacing w:line="240" w:lineRule="auto"/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ind w:left="2832" w:hanging="2832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fonctionnels: </w:t>
        <w:tab/>
        <w:t>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crire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apparence et le caract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re de personnes, souligner les relations familiales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lexicaux: </w:t>
        <w:tab/>
        <w:tab/>
        <w:t>apparence physique, caract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re, famille</w:t>
      </w:r>
    </w:p>
    <w:p>
      <w:pPr>
        <w:pStyle w:val="Normálny"/>
        <w:ind w:left="2832" w:hanging="2832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grammaticaux: </w:t>
        <w:tab/>
        <w:t xml:space="preserve">l'usage du verbe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ê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tre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au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sent, le genre et nombre des adjectifs qualificatifs</w:t>
      </w:r>
    </w:p>
    <w:p>
      <w:pPr>
        <w:pStyle w:val="Normálny"/>
        <w:ind w:left="708" w:hanging="708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riaux: </w:t>
        <w:tab/>
        <w:tab/>
        <w:tab/>
        <w:t xml:space="preserve">petites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preuves 6A et 6B, 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riel imprimable 17, 18, 19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thodes: </w:t>
        <w:tab/>
        <w:tab/>
        <w:tab/>
        <w:t>collectives, actives, ludiques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Formes de travail: </w:t>
        <w:tab/>
        <w:tab/>
        <w:t xml:space="preserve">collectives, individuelles,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deux</w:t>
      </w: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14:textFill>
            <w14:solidFill>
              <w14:srgbClr w14:val="548DD4"/>
            </w14:solidFill>
          </w14:textFill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e: </w:t>
        <w:tab/>
        <w:tab/>
        <w:tab/>
        <w:t>45 minutes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ROULEMENT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Saluez 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ves. 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Ensuite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fermer tout et de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parer leurs stylos. Distribuez les petites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preuves (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PETITES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PREUVES 6A et 6B)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Dites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ils ont 5 minutes pour remplir la feuille et ensuite ramassez les copies.  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rifiez le devoir fait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maison, surtout les descriptions des personnages de la BD francophone. 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Mettez au tableau les adjectifs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crivant le caract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re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(mat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riel imprimable 17)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et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de deviner leur signification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tout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abord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en slovaque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Ensuite, mettez les formes des adjectifs au tableau et demandez au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associer la forme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adjectif au dessin ad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quat. 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Ensuite, vous analysez ensemble la mani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re dont le caract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re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une personne est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crit, le verbe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utiliser et vous rappelez comment accorder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adjectif qualificatif.</w:t>
      </w: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10, page 31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ouvrir le livre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31 et de faire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exercice en associant les descriptions aux photos.</w:t>
      </w:r>
    </w:p>
    <w:tbl>
      <w:tblPr>
        <w:tblW w:w="37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42"/>
        <w:gridCol w:w="1243"/>
        <w:gridCol w:w="1263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jc w:val="center"/>
            </w:pP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jc w:val="center"/>
            </w:pP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1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jc w:val="center"/>
            </w:pP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jc w:val="center"/>
            </w:pP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B</w:t>
            </w:r>
          </w:p>
        </w:tc>
        <w:tc>
          <w:tcPr>
            <w:tcW w:type="dxa" w:w="1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jc w:val="center"/>
            </w:pP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C</w:t>
            </w:r>
          </w:p>
        </w:tc>
        <w:tc>
          <w:tcPr>
            <w:tcW w:type="dxa" w:w="1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jc w:val="center"/>
            </w:pPr>
            <w:r>
              <w:rPr>
                <w:rFonts w:ascii="Palatino Linotype" w:cs="Palatino Linotype" w:hAnsi="Palatino Linotype" w:eastAsia="Palatino Linotype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</w:p>
        </w:tc>
      </w:tr>
    </w:tbl>
    <w:p>
      <w:pPr>
        <w:pStyle w:val="Normálny"/>
        <w:widowControl w:val="0"/>
        <w:spacing w:line="240" w:lineRule="auto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11, page 32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-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crivent les personnes sur les photos, puis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coutent les dialogues. Ensuite, ils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pondent aux questions de l'exercice 12.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ponses: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a) Le nouveau professeur de physique est petit et tr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intelligent, mais impatient et exigeant.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b) Daniel est tr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ennuyant, un peu bas. 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est un gar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 ordinaire, ni tr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beau ni tr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laid.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c) Les yeux de Christine sont bleus et ceux de Sylvie sont verts.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d) Le nouvel enseignant est grand, mince et amical.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e) La fille blonde 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appelle Christine.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f) Non, Sylvie n'a pas de petit ami.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Ensuite, donnez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les cartes du jeu de 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moire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(mat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riel imprimable 18)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pour pratiquer le nouveau vocabulaire en bin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mes.</w:t>
      </w: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ouvrir le livre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33.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14, page 33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-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travaillent en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coutant les dialogues et,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 avoir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, ils choisissent la photo qui leur correspond.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15, page 34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- Ensuite,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font l'exercice dans lequel ils doivent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pondre aux questions.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lisent les dialogues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voix haute et les traduisent.</w:t>
      </w: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ouvrir le cahier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exercices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25.</w:t>
      </w: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10, page 107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- Dans le cahier d'exercices,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font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exercice.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15, page 108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-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sent,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travaillent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deux en faisant l'exercice 16 du livre. Ils doivent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crire oralement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leur partenaire deux membres de leur famille.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DEVOIR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À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LA MAISON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Distribuez le document 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(mat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riel imprimable 18)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avec le devoir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maison et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crire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aspect physique et le caract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re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un Fran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ais typique et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une Fran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aise typique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la photo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 dans le document. 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spacing w:after="0"/>
        <w:jc w:val="both"/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6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.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 16</w:t>
      <w:tab/>
      <w:tab/>
    </w:r>
    <w:r>
      <w:rPr>
        <w:rFonts w:ascii="Palatino Linotype" w:cs="Palatino Linotype" w:hAnsi="Palatino Linotype" w:eastAsia="Palatino Linotype"/>
        <w:sz w:val="20"/>
        <w:szCs w:val="20"/>
        <w:rtl w:val="0"/>
      </w:rPr>
      <w:t>É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TAPE 3 Le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on  4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