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 xml:space="preserve">   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Comment est ta journ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é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e ordinaire?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V tejto lekcii sa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obozn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mia 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asovan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 niektor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nepravideln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slovies 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tomnom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ase. Nau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ia sa hovori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o svojom dni 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innostiach, ktor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vykon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vaj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. O 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zskych zvykoch sa dozvedia pri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textu </w:t>
            </w:r>
            <w:r>
              <w:rPr>
                <w:rFonts w:ascii="Palatino Linotype" w:cs="Palatino Linotype" w:hAnsi="Palatino Linotype" w:eastAsia="Palatino Linotype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Les repas en France et d'autres pays francophones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fonctionnels : </w:t>
        <w:tab/>
        <w:tab/>
        <w:t>parler des activit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quotidiennes dans le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lexicaux : </w:t>
        <w:tab/>
        <w:tab/>
        <w:tab/>
        <w:t>les parties de la journ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e, les activit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quotidiennes</w:t>
      </w:r>
    </w:p>
    <w:p>
      <w:pPr>
        <w:pStyle w:val="Normálny"/>
        <w:ind w:left="3540" w:hanging="354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de grammaire : </w:t>
        <w:tab/>
        <w:t>Indicatif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 des verbes pronominaux et irr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guliers avec changement de voyelle</w:t>
      </w:r>
    </w:p>
    <w:p>
      <w:pPr>
        <w:pStyle w:val="Normálny"/>
        <w:ind w:left="3540" w:hanging="354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culturels :</w:t>
        <w:tab/>
        <w:t xml:space="preserve"> les repas en France et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autres pays francophones</w:t>
      </w:r>
    </w:p>
    <w:p>
      <w:pPr>
        <w:pStyle w:val="Normálny"/>
        <w:ind w:left="3540" w:hanging="354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riels : </w:t>
        <w:tab/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riel projetable 12 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 : </w:t>
        <w:tab/>
        <w:tab/>
        <w:tab/>
        <w:tab/>
        <w:t>actif, ludique, collectif,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ductif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Formes de travail : </w:t>
        <w:tab/>
        <w:tab/>
        <w:tab/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deux, individuelles, collectives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</w:t>
        <w:tab/>
        <w:tab/>
        <w:tab/>
        <w:tab/>
        <w:t>45 minutes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8eaadb"/>
          <w:sz w:val="24"/>
          <w:szCs w:val="24"/>
          <w:u w:color="8eaadb"/>
          <w14:textFill>
            <w14:solidFill>
              <w14:srgbClr w14:val="8EAADB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8eaadb"/>
          <w:sz w:val="24"/>
          <w:szCs w:val="24"/>
          <w:u w:color="8eaadb"/>
          <w:rtl w:val="0"/>
          <w14:textFill>
            <w14:solidFill>
              <w14:srgbClr w14:val="8EAADB"/>
            </w14:solidFill>
          </w14:textFill>
        </w:rPr>
        <w:t>DEROULEMENT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sortir les horloges en papier et de se mettre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mes. Ensuite de se demander les heures indiqu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es sur les horloges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tour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le.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61.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 4 page 61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comment s'appelle la fille sur les illustrations et quel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â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ge elle a.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doivent regarder les heures et ranger les dessins. Observez la journ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 de Catherine ensemble et mettez aux tableau tous les activit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quotidiennes.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ponses: 1.j; 2.f; 3.b; 4l; 5.h; 6a; 7.i; 8.k; 9.g; 10.e; 11.c; 12.d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Apres conjuguez ensemble des verbes pronominaux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(p. ex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se laver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pour montrer le verbe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gulier, ensuite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se lever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et 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habiller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pour montrer les modifications du sujet)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Ensuite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</w:r>
    </w:p>
    <w:p>
      <w:pPr>
        <w:pStyle w:val="Normálny"/>
        <w:numPr>
          <w:ilvl w:val="0"/>
          <w:numId w:val="2"/>
        </w:numPr>
        <w:bidi w:val="0"/>
        <w:ind w:right="0"/>
        <w:jc w:val="left"/>
        <w:rPr>
          <w:rFonts w:ascii="Palatino Linotype" w:cs="Palatino Linotype" w:hAnsi="Palatino Linotype" w:eastAsia="Palatino Linotype"/>
          <w:sz w:val="24"/>
          <w:szCs w:val="24"/>
          <w:rtl w:val="0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est -ce que tu fais le matin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?</w:t>
      </w:r>
    </w:p>
    <w:p>
      <w:pPr>
        <w:pStyle w:val="Normálny"/>
        <w:numPr>
          <w:ilvl w:val="0"/>
          <w:numId w:val="2"/>
        </w:numPr>
        <w:bidi w:val="0"/>
        <w:ind w:right="0"/>
        <w:jc w:val="left"/>
        <w:rPr>
          <w:rFonts w:ascii="Palatino Linotype" w:cs="Palatino Linotype" w:hAnsi="Palatino Linotype" w:eastAsia="Palatino Linotype"/>
          <w:sz w:val="24"/>
          <w:szCs w:val="24"/>
          <w:rtl w:val="0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est-ce que tu fais le soir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?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Ensuite,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ouvrir le 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exercices a la page 136. 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 3, 4,  page 136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Pour s'exercer,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font les exercices 3 et 4.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Lecture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: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Les repas en France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 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Laissez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lire le texte individuellement. Ensuite, demandez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un volontaire de le lire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voix haute. Expliquez le vocabulaire et parlez des diff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rences entre les repas en France et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Slovaquie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 6 page 62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lire le texte individuellement et demandez-leur d'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crire les infinitifs des formes verbales. Ecrivez vos propositions au tableau. Puis expliquez comment les verbes irr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guliers sont conjugu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(voir les encadr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 avec les changements de voyelles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60 et montrez le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riel projetable 12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).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 7 page 62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Pour consolider le nouveau 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riel,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font l'exercice 7 individuellement. Puis effectuez la correction en classe ouverte.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ponses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</w:t>
      </w:r>
    </w:p>
    <w:tbl>
      <w:tblPr>
        <w:tblW w:w="34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"/>
        <w:gridCol w:w="3158"/>
      </w:tblGrid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1</w:t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se l</w:t>
            </w: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è</w:t>
            </w: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vent</w:t>
            </w:r>
          </w:p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2</w:t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nous levons</w:t>
            </w:r>
          </w:p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3</w:t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prends</w:t>
            </w:r>
          </w:p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4</w:t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sortez</w:t>
            </w:r>
          </w:p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5</w:t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finissons</w:t>
            </w:r>
          </w:p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6</w:t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s</w:t>
            </w: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habille</w:t>
            </w:r>
          </w:p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7</w:t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ouvre</w:t>
            </w:r>
          </w:p>
        </w:tc>
      </w:tr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8</w:t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commencent / finissent</w:t>
            </w:r>
          </w:p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9</w:t>
            </w:r>
          </w:p>
        </w:tc>
        <w:tc>
          <w:tcPr>
            <w:tcW w:type="dxa" w:w="3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</w:pPr>
            <w:r>
              <w:rPr>
                <w:rFonts w:ascii="Palatino Linotype" w:cs="Palatino Linotype" w:hAnsi="Palatino Linotype" w:eastAsia="Palatino Linotype"/>
                <w:shd w:val="nil" w:color="auto" w:fill="auto"/>
                <w:rtl w:val="0"/>
              </w:rPr>
              <w:t>dormons</w:t>
            </w:r>
          </w:p>
        </w:tc>
      </w:tr>
    </w:tbl>
    <w:p>
      <w:pPr>
        <w:pStyle w:val="Normálny"/>
        <w:widowControl w:val="0"/>
        <w:spacing w:line="240" w:lineRule="auto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b w:val="1"/>
          <w:bCs w:val="1"/>
          <w:outline w:val="0"/>
          <w:color w:val="8eaadb"/>
          <w:sz w:val="24"/>
          <w:szCs w:val="24"/>
          <w:u w:color="8eaadb"/>
          <w14:textFill>
            <w14:solidFill>
              <w14:srgbClr w14:val="8EAADB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8eaadb"/>
          <w:sz w:val="24"/>
          <w:szCs w:val="24"/>
          <w:u w:color="8eaadb"/>
          <w:rtl w:val="0"/>
          <w14:textFill>
            <w14:solidFill>
              <w14:srgbClr w14:val="8EAADB"/>
            </w14:solidFill>
          </w14:textFill>
        </w:rPr>
        <w:t>DEVOIR A LA MAISON</w:t>
      </w:r>
    </w:p>
    <w:p>
      <w:pPr>
        <w:pStyle w:val="Normálny"/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 5 page 61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livre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 42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  <w:lang w:val="fr-FR"/>
      </w:rPr>
      <w:t>ETAPE 7 Le</w:t>
    </w:r>
    <w:r>
      <w:rPr>
        <w:rFonts w:ascii="Palatino Linotype" w:cs="Palatino Linotype" w:hAnsi="Palatino Linotype" w:eastAsia="Palatino Linotype"/>
        <w:sz w:val="20"/>
        <w:szCs w:val="20"/>
        <w:rtl w:val="0"/>
        <w:lang w:val="fr-FR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  <w:lang w:val="fr-FR"/>
      </w:rPr>
      <w:t>on 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lowerLetter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