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Quel temps fait-il?</w:t>
            </w:r>
          </w:p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V tejto lekcii 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obozn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mia so slovnou 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sobou 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cou sa po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asia. 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ť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ou lekcie 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ú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aj po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etn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cvi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enia, ktor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 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tudentom pom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ôž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u 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sa opisova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asie a atmosf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rick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javy.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 w:line="36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fonctionnels: </w:t>
        <w:tab/>
        <w:tab/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le temps qu'il fait</w:t>
      </w:r>
    </w:p>
    <w:p>
      <w:pPr>
        <w:pStyle w:val="Normálny"/>
        <w:spacing w:after="0" w:line="240" w:lineRule="auto"/>
        <w:ind w:left="4247" w:hanging="4247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lexicaux: </w:t>
        <w:tab/>
        <w:tab/>
        <w:t>vocabulaire de la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 et des points cardinaux</w:t>
      </w:r>
    </w:p>
    <w:p>
      <w:pPr>
        <w:pStyle w:val="Normálny"/>
        <w:spacing w:after="0" w:line="240" w:lineRule="auto"/>
        <w:ind w:left="4247" w:hanging="4247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de grammaire: </w:t>
        <w:tab/>
        <w:tab/>
        <w:tab/>
        <w:t xml:space="preserve">utilisation des constructions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 fait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</w:p>
    <w:p>
      <w:pPr>
        <w:pStyle w:val="Normálny"/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                                                                      et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 y 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 </w:t>
      </w:r>
    </w:p>
    <w:p>
      <w:pPr>
        <w:pStyle w:val="Normálny"/>
        <w:spacing w:after="0" w:line="240" w:lineRule="auto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 w:line="36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ab/>
        <w:tab/>
        <w:tab/>
        <w:t>collective, individuelle, active</w:t>
      </w:r>
    </w:p>
    <w:p>
      <w:pPr>
        <w:pStyle w:val="Normálny"/>
        <w:spacing w:after="0" w:line="36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Formes de travail: </w:t>
        <w:tab/>
        <w:tab/>
        <w:tab/>
        <w:tab/>
        <w:t xml:space="preserve">individuel,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collectif</w:t>
      </w:r>
    </w:p>
    <w:p>
      <w:pPr>
        <w:pStyle w:val="Normálny"/>
        <w:spacing w:after="0" w:line="36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 </w:t>
        <w:tab/>
        <w:tab/>
        <w:tab/>
        <w:tab/>
        <w:tab/>
        <w:t>45 minutes</w:t>
      </w:r>
    </w:p>
    <w:p>
      <w:pPr>
        <w:pStyle w:val="Normálny"/>
        <w:spacing w:after="0" w:line="360" w:lineRule="auto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ROULEMENT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ce que signifie le mot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et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1, page 67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observent les images, lisent les phrases et tentent de les traduire 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Ensuite, ils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l'enregistrement une ou deux fois, si 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cessaire, et ils notent de quels ph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nom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nes sonores il 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agit.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crivez la question au tableau: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Quel temps fait-il en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Slovaquie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aujourd'hui?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crivent les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ponses dans leurs cahiers et apportent une correction en classe ouverte. Ensuite, deux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ils choisissent un pays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;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un demande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autre quel temps il y fait,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autre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pond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question. Puis, ils changent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 xml:space="preserve">Ex. 2, page 67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Avant d'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couter,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crivent le temps qu'il fait sur les photos. Faites passer l'enregistrement deux fois.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avoir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l'enregistrement,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associent les lettres des photos correspondant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chaque ph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nom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ne et le notent dans leurs cahiers.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3, page 67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observent les photographies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 et lisent l'exemple. Ensuite, ils disent sur quelle image il fait beau et quel temps il fait. Ils expliquent leurs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4, page 68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Dessinez la rose des vents au tableau avec les principaux points cardinaux.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doivent compl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ter les mots qui manquent.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ind w:left="2124" w:firstLine="708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Au nord</w:t>
      </w:r>
    </w:p>
    <w:p>
      <w:pPr>
        <w:pStyle w:val="Normálny"/>
        <w:ind w:firstLine="708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NORD-OUEST </w:t>
        <w:tab/>
        <w:tab/>
        <w:tab/>
        <w:tab/>
        <w:t>NORD-EST</w:t>
      </w:r>
    </w:p>
    <w:p>
      <w:pPr>
        <w:pStyle w:val="Normálny"/>
        <w:ind w:firstLine="708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SUD-OUEST</w:t>
        <w:tab/>
        <w:tab/>
        <w:tab/>
        <w:tab/>
        <w:tab/>
        <w:t>SUD-EST</w:t>
      </w:r>
    </w:p>
    <w:p>
      <w:pPr>
        <w:pStyle w:val="Normálny"/>
        <w:ind w:left="2124" w:firstLine="708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Au sud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lisent les descriptions en silence et les relient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des cartes prenant en compte les points cardinaux.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Pour consolider le nouveau 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riel,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font les exercices 2 et 3 de la page 144 du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exercices.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LA MAISON</w:t>
      </w:r>
    </w:p>
    <w:p>
      <w:pPr>
        <w:pStyle w:val="Normálny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Cahier d'exercices: Ex. 1/144, 4/145, 5/145.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 47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8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