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840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 xml:space="preserve">   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Les mois et les saisons</w:t>
            </w:r>
          </w:p>
        </w:tc>
      </w:tr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</w:pPr>
    </w:p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V tejto lekcii sa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tudenti bud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 ď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alej 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opisova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po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asie. Nau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ia sa tie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ž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zvy mesiacov a ro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ch obdob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álny"/>
        <w:widowControl w:val="0"/>
        <w:spacing w:line="240" w:lineRule="auto"/>
      </w:pPr>
    </w:p>
    <w:p>
      <w:pPr>
        <w:pStyle w:val="Normálny"/>
        <w:tabs>
          <w:tab w:val="left" w:pos="5955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</w:rPr>
        <w:tab/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Objectifs lexicaux:</w:t>
        <w:tab/>
        <w:tab/>
        <w:tab/>
        <w:t>les mois de l'ann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e, les saisons de l'ann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</w:t>
        <w:tab/>
        <w:t xml:space="preserve"> 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thodes: </w:t>
        <w:tab/>
        <w:tab/>
        <w:tab/>
        <w:tab/>
        <w:t>collective, individuelle,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ductive, active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Formes de travail:</w:t>
        <w:tab/>
        <w:tab/>
        <w:tab/>
        <w:t xml:space="preserve">individuel,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deux, collectif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e: </w:t>
        <w:tab/>
        <w:tab/>
        <w:tab/>
        <w:tab/>
        <w:t>45 minutes</w:t>
      </w:r>
    </w:p>
    <w:p>
      <w:pPr>
        <w:pStyle w:val="Normálny"/>
        <w:rPr>
          <w:rFonts w:ascii="Palatino Linotype" w:cs="Palatino Linotype" w:hAnsi="Palatino Linotype" w:eastAsia="Palatino Linotype"/>
        </w:rPr>
      </w:pP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ROULEMENT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Saluez 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Posez plusieurs questions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ves, par exemple : Il y a du soleil aujourd'hui? Pleut-il ? Le ciel, est-il couvert ou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gag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?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5, page 69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-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travaillent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deux. Une personne choisit une photo et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crit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son camarade de classe le temps qu'il fait. Celui-ci devine de quelle photo il s'agit. Faites reprendre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exercice pour que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changent de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le.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Ensuite, 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sentez les objectifs de la le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crivez le nom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une saison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ann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 au tableau et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quelle est sa signification, puis combien de saisons il y a.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lisent les noms des saisons et quatre personnes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crivent le temps qu'il fait en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Slovaquie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au printemps, en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, en automne et en hiver.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6, page 69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Expliquez le sens du mot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mois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 »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et demandez combien de mois il y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 dans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ann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e.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lisent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abord les noms des mois, puis les mettent dans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ordre chronologique. Faites la correction ensemble.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7, page 69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lisent les descriptions des saisons.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associer les photos aux descriptions.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8, page 70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couter trois personnes - du 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bec, de la Guadeloupe et de la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publique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mocratique du Congo qui vont parler des saisons et de la 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 de leurs pays.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lisent les questions et, apr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 avoir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l'enregistrement, ils notent les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ponses dans leurs cahiers.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plusieurs personnes quelle est leur saison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 et ce 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elles font ensuite.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10, page 70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crivent dans des cahiers ce que Pauline fait en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et en hiver. Ensuite, corrigez les travaux des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</w:t>
      </w: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 xml:space="preserve">DEVOIR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 xml:space="preserve">À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LA MAISON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Cahier d'exercices: Ex. 6-7 / 146-147.</w:t>
      </w:r>
    </w:p>
    <w:p>
      <w:pPr>
        <w:pStyle w:val="Normálny"/>
      </w:pPr>
      <w:r>
        <w:rPr>
          <w:rFonts w:ascii="Palatino Linotype" w:cs="Palatino Linotype" w:hAnsi="Palatino Linotype" w:eastAsia="Palatino Linotype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 48</w:t>
      <w:tab/>
      <w:tab/>
    </w:r>
    <w:r>
      <w:rPr>
        <w:rFonts w:ascii="Palatino Linotype" w:cs="Palatino Linotype" w:hAnsi="Palatino Linotype" w:eastAsia="Palatino Linotype"/>
        <w:sz w:val="20"/>
        <w:szCs w:val="20"/>
        <w:rtl w:val="0"/>
      </w:rPr>
      <w:t>É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TAPE 8  Le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on 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